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DA44" w14:textId="77777777" w:rsidR="0029573E" w:rsidRPr="0029573E" w:rsidRDefault="0029573E" w:rsidP="0029573E">
      <w:pPr>
        <w:pStyle w:val="Heading6"/>
        <w:rPr>
          <w:color w:val="000000"/>
        </w:rPr>
      </w:pPr>
      <w:r>
        <w:rPr>
          <w:color w:val="000000"/>
        </w:rPr>
        <w:t>Economics – The Euro and the ECB Lesson Plan</w:t>
      </w:r>
    </w:p>
    <w:p w14:paraId="01125EB7" w14:textId="77777777" w:rsidR="0029573E" w:rsidRPr="0029573E" w:rsidRDefault="0029573E" w:rsidP="0029573E">
      <w:pPr>
        <w:jc w:val="center"/>
        <w:rPr>
          <w:rFonts w:ascii="Comic Sans MS" w:hAnsi="Comic Sans MS"/>
          <w:color w:val="000000"/>
          <w:sz w:val="20"/>
        </w:rPr>
      </w:pPr>
    </w:p>
    <w:p w14:paraId="38C83732" w14:textId="77777777" w:rsidR="0029573E" w:rsidRPr="0029573E" w:rsidRDefault="0029573E" w:rsidP="0029573E">
      <w:pPr>
        <w:rPr>
          <w:rFonts w:ascii="Comic Sans MS" w:hAnsi="Comic Sans MS"/>
          <w:color w:val="000000"/>
          <w:sz w:val="20"/>
        </w:rPr>
      </w:pPr>
      <w:r w:rsidRPr="0029573E">
        <w:rPr>
          <w:rFonts w:ascii="Comic Sans MS" w:hAnsi="Comic Sans MS"/>
          <w:color w:val="000000"/>
          <w:sz w:val="20"/>
        </w:rPr>
        <w:t>Date:</w:t>
      </w:r>
      <w:r>
        <w:rPr>
          <w:rFonts w:ascii="Comic Sans MS" w:hAnsi="Comic Sans MS"/>
          <w:color w:val="000000"/>
          <w:sz w:val="20"/>
        </w:rPr>
        <w:t xml:space="preserve"> </w:t>
      </w:r>
      <w:r w:rsidR="00230454">
        <w:rPr>
          <w:rFonts w:ascii="Comic Sans MS" w:hAnsi="Comic Sans MS"/>
          <w:color w:val="000000"/>
          <w:sz w:val="20"/>
        </w:rPr>
        <w:t>October 2011</w:t>
      </w:r>
    </w:p>
    <w:p w14:paraId="73FA5327" w14:textId="77777777" w:rsidR="0029573E" w:rsidRDefault="0029573E" w:rsidP="0029573E">
      <w:pPr>
        <w:rPr>
          <w:rFonts w:ascii="Comic Sans MS" w:hAnsi="Comic Sans MS"/>
          <w:color w:val="000000"/>
          <w:sz w:val="20"/>
        </w:rPr>
      </w:pPr>
      <w:r>
        <w:rPr>
          <w:rFonts w:ascii="Comic Sans MS" w:hAnsi="Comic Sans MS"/>
          <w:color w:val="000000"/>
          <w:sz w:val="20"/>
        </w:rPr>
        <w:t>Unit: International Economic Systems (Economics)</w:t>
      </w:r>
    </w:p>
    <w:p w14:paraId="6554EA3D" w14:textId="77777777" w:rsidR="0029573E" w:rsidRDefault="0029573E" w:rsidP="0029573E">
      <w:pPr>
        <w:rPr>
          <w:rFonts w:ascii="Comic Sans MS" w:hAnsi="Comic Sans MS"/>
          <w:color w:val="000000"/>
          <w:sz w:val="20"/>
        </w:rPr>
      </w:pPr>
      <w:r>
        <w:rPr>
          <w:rFonts w:ascii="Comic Sans MS" w:hAnsi="Comic Sans MS"/>
          <w:color w:val="000000"/>
          <w:sz w:val="20"/>
        </w:rPr>
        <w:t>Grade Level: 12</w:t>
      </w:r>
    </w:p>
    <w:p w14:paraId="05AB15BB" w14:textId="77777777" w:rsidR="0029573E" w:rsidRDefault="0029573E" w:rsidP="0029573E">
      <w:pPr>
        <w:rPr>
          <w:rFonts w:ascii="Comic Sans MS" w:hAnsi="Comic Sans MS"/>
          <w:color w:val="000000"/>
          <w:sz w:val="20"/>
        </w:rPr>
      </w:pPr>
      <w:r>
        <w:rPr>
          <w:rFonts w:ascii="Comic Sans MS" w:hAnsi="Comic Sans MS"/>
          <w:color w:val="000000"/>
          <w:sz w:val="20"/>
        </w:rPr>
        <w:t>Lesson 1</w:t>
      </w:r>
    </w:p>
    <w:p w14:paraId="0F6D6C2C" w14:textId="77777777" w:rsidR="0029573E" w:rsidRDefault="0029573E" w:rsidP="0029573E">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4590"/>
      </w:tblGrid>
      <w:tr w:rsidR="0029573E" w14:paraId="102347B6" w14:textId="77777777" w:rsidTr="00E148A0">
        <w:trPr>
          <w:trHeight w:val="234"/>
        </w:trPr>
        <w:tc>
          <w:tcPr>
            <w:tcW w:w="4428" w:type="dxa"/>
          </w:tcPr>
          <w:p w14:paraId="73DB812A" w14:textId="77777777" w:rsidR="0029573E" w:rsidRDefault="0029573E" w:rsidP="00E148A0">
            <w:pPr>
              <w:rPr>
                <w:rFonts w:ascii="Comic Sans MS" w:hAnsi="Comic Sans MS"/>
                <w:b/>
                <w:color w:val="000000"/>
                <w:sz w:val="20"/>
              </w:rPr>
            </w:pPr>
            <w:r>
              <w:rPr>
                <w:rFonts w:ascii="Comic Sans MS" w:hAnsi="Comic Sans MS"/>
                <w:b/>
                <w:color w:val="000000"/>
                <w:sz w:val="20"/>
              </w:rPr>
              <w:t>Goals/Aims/Objectives</w:t>
            </w:r>
          </w:p>
        </w:tc>
        <w:tc>
          <w:tcPr>
            <w:tcW w:w="4590" w:type="dxa"/>
          </w:tcPr>
          <w:p w14:paraId="46F71667" w14:textId="77777777" w:rsidR="0029573E" w:rsidRDefault="0029573E" w:rsidP="00E148A0">
            <w:pPr>
              <w:rPr>
                <w:rFonts w:ascii="Comic Sans MS" w:hAnsi="Comic Sans MS"/>
                <w:b/>
                <w:color w:val="000000"/>
                <w:sz w:val="20"/>
              </w:rPr>
            </w:pPr>
            <w:r>
              <w:rPr>
                <w:rFonts w:ascii="Comic Sans MS" w:hAnsi="Comic Sans MS"/>
                <w:b/>
                <w:color w:val="000000"/>
                <w:sz w:val="20"/>
              </w:rPr>
              <w:t>Standards</w:t>
            </w:r>
          </w:p>
        </w:tc>
      </w:tr>
      <w:tr w:rsidR="0029573E" w14:paraId="72185906" w14:textId="77777777" w:rsidTr="00E148A0">
        <w:trPr>
          <w:trHeight w:val="234"/>
        </w:trPr>
        <w:tc>
          <w:tcPr>
            <w:tcW w:w="4428" w:type="dxa"/>
          </w:tcPr>
          <w:p w14:paraId="3482BFE0" w14:textId="77777777" w:rsidR="0029573E" w:rsidRPr="00E148A0" w:rsidRDefault="0029573E" w:rsidP="00E148A0">
            <w:pPr>
              <w:rPr>
                <w:color w:val="000000"/>
                <w:sz w:val="20"/>
              </w:rPr>
            </w:pPr>
          </w:p>
          <w:p w14:paraId="1707B50A" w14:textId="77777777" w:rsidR="0029573E" w:rsidRPr="00E148A0" w:rsidRDefault="0029573E" w:rsidP="0029573E">
            <w:pPr>
              <w:pStyle w:val="Standard"/>
              <w:numPr>
                <w:ilvl w:val="0"/>
                <w:numId w:val="3"/>
              </w:numPr>
              <w:rPr>
                <w:rFonts w:ascii="Garamond" w:hAnsi="Garamond"/>
                <w:sz w:val="20"/>
                <w:szCs w:val="20"/>
              </w:rPr>
            </w:pPr>
            <w:r w:rsidRPr="00E148A0">
              <w:rPr>
                <w:rFonts w:ascii="Garamond" w:hAnsi="Garamond"/>
                <w:sz w:val="20"/>
                <w:szCs w:val="20"/>
              </w:rPr>
              <w:t>Students will be able to understand why a country is better off having a central European currency.</w:t>
            </w:r>
          </w:p>
          <w:p w14:paraId="1DB9111C" w14:textId="77777777" w:rsidR="0029573E" w:rsidRPr="00E148A0" w:rsidRDefault="0029573E" w:rsidP="0029573E">
            <w:pPr>
              <w:pStyle w:val="Standard"/>
              <w:ind w:left="360"/>
              <w:rPr>
                <w:rFonts w:ascii="Garamond" w:hAnsi="Garamond"/>
                <w:sz w:val="20"/>
                <w:szCs w:val="20"/>
              </w:rPr>
            </w:pPr>
          </w:p>
          <w:p w14:paraId="5FD215CB" w14:textId="77777777" w:rsidR="0029573E" w:rsidRPr="00E148A0" w:rsidRDefault="0029573E" w:rsidP="0029573E">
            <w:pPr>
              <w:pStyle w:val="Standard"/>
              <w:numPr>
                <w:ilvl w:val="0"/>
                <w:numId w:val="3"/>
              </w:numPr>
              <w:rPr>
                <w:rFonts w:ascii="Garamond" w:hAnsi="Garamond"/>
                <w:sz w:val="20"/>
                <w:szCs w:val="20"/>
              </w:rPr>
            </w:pPr>
            <w:r w:rsidRPr="00E148A0">
              <w:rPr>
                <w:rFonts w:ascii="Garamond" w:hAnsi="Garamond"/>
                <w:sz w:val="20"/>
                <w:szCs w:val="20"/>
              </w:rPr>
              <w:t>Students will be able to understand what a country needs to do before adapting the Euro.</w:t>
            </w:r>
          </w:p>
          <w:p w14:paraId="199AF68C" w14:textId="77777777" w:rsidR="0029573E" w:rsidRPr="00E148A0" w:rsidRDefault="0029573E" w:rsidP="0029573E">
            <w:pPr>
              <w:pStyle w:val="Standard"/>
              <w:ind w:left="360"/>
              <w:rPr>
                <w:rFonts w:ascii="Garamond" w:hAnsi="Garamond"/>
                <w:sz w:val="20"/>
                <w:szCs w:val="20"/>
              </w:rPr>
            </w:pPr>
          </w:p>
          <w:p w14:paraId="68F11E9E" w14:textId="77777777" w:rsidR="0029573E" w:rsidRPr="00E148A0" w:rsidRDefault="0029573E" w:rsidP="00E148A0">
            <w:pPr>
              <w:pStyle w:val="Standard"/>
              <w:numPr>
                <w:ilvl w:val="0"/>
                <w:numId w:val="3"/>
              </w:numPr>
              <w:rPr>
                <w:rFonts w:ascii="Garamond" w:hAnsi="Garamond"/>
                <w:sz w:val="20"/>
                <w:szCs w:val="20"/>
              </w:rPr>
            </w:pPr>
            <w:r w:rsidRPr="00E148A0">
              <w:rPr>
                <w:rFonts w:ascii="Garamond" w:hAnsi="Garamond"/>
                <w:sz w:val="20"/>
                <w:szCs w:val="20"/>
              </w:rPr>
              <w:t>Students will be able to explain how a country replaces an old currency with a new one.</w:t>
            </w:r>
          </w:p>
          <w:p w14:paraId="0530715D" w14:textId="77777777" w:rsidR="0029573E" w:rsidRPr="00E148A0" w:rsidRDefault="0029573E" w:rsidP="0029573E">
            <w:pPr>
              <w:pStyle w:val="Standard"/>
              <w:rPr>
                <w:rFonts w:ascii="Garamond" w:hAnsi="Garamond"/>
                <w:sz w:val="20"/>
                <w:szCs w:val="20"/>
              </w:rPr>
            </w:pPr>
          </w:p>
          <w:p w14:paraId="2E79A7B8" w14:textId="77777777" w:rsidR="0029573E" w:rsidRPr="00E148A0" w:rsidRDefault="0029573E" w:rsidP="00E148A0">
            <w:pPr>
              <w:pStyle w:val="Standard"/>
              <w:numPr>
                <w:ilvl w:val="0"/>
                <w:numId w:val="3"/>
              </w:numPr>
              <w:rPr>
                <w:rFonts w:ascii="Garamond" w:hAnsi="Garamond"/>
                <w:sz w:val="20"/>
                <w:szCs w:val="20"/>
              </w:rPr>
            </w:pPr>
            <w:r w:rsidRPr="00E148A0">
              <w:rPr>
                <w:rFonts w:ascii="Garamond" w:hAnsi="Garamond"/>
                <w:sz w:val="20"/>
                <w:szCs w:val="20"/>
              </w:rPr>
              <w:t>Students will understand why, how, and when a country can use the Euro</w:t>
            </w:r>
          </w:p>
          <w:p w14:paraId="0C241AC2" w14:textId="77777777" w:rsidR="0029573E" w:rsidRPr="00E148A0" w:rsidRDefault="0029573E" w:rsidP="0029573E">
            <w:pPr>
              <w:pStyle w:val="Standard"/>
              <w:rPr>
                <w:rFonts w:ascii="Garamond" w:hAnsi="Garamond"/>
                <w:sz w:val="20"/>
                <w:szCs w:val="20"/>
              </w:rPr>
            </w:pPr>
          </w:p>
          <w:p w14:paraId="602340F1" w14:textId="77777777" w:rsidR="0029573E" w:rsidRPr="00E148A0" w:rsidRDefault="0029573E" w:rsidP="00E148A0">
            <w:pPr>
              <w:rPr>
                <w:color w:val="000000"/>
                <w:sz w:val="20"/>
              </w:rPr>
            </w:pPr>
          </w:p>
          <w:p w14:paraId="437F4DCB" w14:textId="77777777" w:rsidR="0029573E" w:rsidRPr="00E148A0" w:rsidRDefault="0029573E" w:rsidP="00E148A0">
            <w:pPr>
              <w:rPr>
                <w:color w:val="000000"/>
                <w:sz w:val="20"/>
              </w:rPr>
            </w:pPr>
          </w:p>
          <w:p w14:paraId="05D84256" w14:textId="77777777" w:rsidR="0029573E" w:rsidRPr="00E148A0" w:rsidRDefault="0029573E" w:rsidP="00E148A0">
            <w:pPr>
              <w:rPr>
                <w:color w:val="000000"/>
                <w:sz w:val="20"/>
              </w:rPr>
            </w:pPr>
          </w:p>
          <w:p w14:paraId="54758BB2" w14:textId="77777777" w:rsidR="0029573E" w:rsidRPr="00E148A0" w:rsidRDefault="0029573E" w:rsidP="00E148A0">
            <w:pPr>
              <w:rPr>
                <w:color w:val="000000"/>
                <w:sz w:val="20"/>
              </w:rPr>
            </w:pPr>
          </w:p>
          <w:p w14:paraId="3C7D1D2E" w14:textId="77777777" w:rsidR="0029573E" w:rsidRPr="00E148A0" w:rsidRDefault="0029573E" w:rsidP="00E148A0">
            <w:pPr>
              <w:rPr>
                <w:color w:val="000000"/>
                <w:sz w:val="20"/>
              </w:rPr>
            </w:pPr>
          </w:p>
          <w:p w14:paraId="26D54EAC" w14:textId="77777777" w:rsidR="0029573E" w:rsidRPr="00E148A0" w:rsidRDefault="0029573E" w:rsidP="00E148A0">
            <w:pPr>
              <w:rPr>
                <w:color w:val="000000"/>
                <w:sz w:val="20"/>
              </w:rPr>
            </w:pPr>
          </w:p>
          <w:p w14:paraId="6037D19B" w14:textId="77777777" w:rsidR="0029573E" w:rsidRPr="00E148A0" w:rsidRDefault="0029573E" w:rsidP="00E148A0">
            <w:pPr>
              <w:rPr>
                <w:color w:val="000000"/>
                <w:sz w:val="20"/>
              </w:rPr>
            </w:pPr>
          </w:p>
        </w:tc>
        <w:tc>
          <w:tcPr>
            <w:tcW w:w="4590" w:type="dxa"/>
          </w:tcPr>
          <w:p w14:paraId="58711F31" w14:textId="77777777" w:rsidR="0029573E" w:rsidRPr="00E148A0" w:rsidRDefault="0029573E" w:rsidP="00B86B68">
            <w:pPr>
              <w:pStyle w:val="Standard"/>
              <w:autoSpaceDE w:val="0"/>
              <w:rPr>
                <w:rFonts w:ascii="Garamond" w:hAnsi="Garamond"/>
                <w:b/>
                <w:bCs/>
                <w:sz w:val="20"/>
                <w:szCs w:val="20"/>
              </w:rPr>
            </w:pPr>
            <w:r w:rsidRPr="00E148A0">
              <w:rPr>
                <w:rFonts w:ascii="Garamond" w:hAnsi="Garamond"/>
                <w:b/>
                <w:bCs/>
                <w:sz w:val="20"/>
                <w:szCs w:val="20"/>
              </w:rPr>
              <w:t>Standard 1: Scarcity and Economic Reasoning</w:t>
            </w:r>
          </w:p>
          <w:p w14:paraId="06C68C9F" w14:textId="77777777" w:rsidR="0029573E" w:rsidRDefault="0029573E" w:rsidP="00B86B68">
            <w:pPr>
              <w:pStyle w:val="Textbody"/>
              <w:spacing w:after="0"/>
              <w:rPr>
                <w:rFonts w:ascii="Garamond" w:hAnsi="Garamond"/>
                <w:i/>
                <w:iCs/>
                <w:sz w:val="20"/>
                <w:szCs w:val="20"/>
              </w:rPr>
            </w:pPr>
            <w:r w:rsidRPr="00E148A0">
              <w:rPr>
                <w:rFonts w:ascii="Garamond" w:hAnsi="Garamond"/>
                <w:i/>
                <w:iCs/>
                <w:sz w:val="20"/>
                <w:szCs w:val="20"/>
              </w:rPr>
              <w:t>E.1.5 Explain that voluntary exchange occurs when all participating parties expect to gain.</w:t>
            </w:r>
          </w:p>
          <w:p w14:paraId="0A0D5FDF" w14:textId="77777777" w:rsidR="00B86B68" w:rsidRPr="00E148A0" w:rsidRDefault="00B86B68" w:rsidP="00B86B68">
            <w:pPr>
              <w:pStyle w:val="Textbody"/>
              <w:spacing w:after="0"/>
              <w:rPr>
                <w:rFonts w:ascii="Garamond" w:hAnsi="Garamond"/>
                <w:i/>
                <w:iCs/>
                <w:sz w:val="20"/>
                <w:szCs w:val="20"/>
              </w:rPr>
            </w:pPr>
          </w:p>
          <w:p w14:paraId="3E2392A7" w14:textId="77777777" w:rsidR="0029573E" w:rsidRPr="00E148A0" w:rsidRDefault="0029573E" w:rsidP="00B86B68">
            <w:pPr>
              <w:pStyle w:val="Standard"/>
              <w:autoSpaceDE w:val="0"/>
              <w:rPr>
                <w:rFonts w:ascii="Garamond" w:hAnsi="Garamond"/>
                <w:b/>
                <w:bCs/>
                <w:sz w:val="20"/>
                <w:szCs w:val="20"/>
              </w:rPr>
            </w:pPr>
            <w:r w:rsidRPr="00E148A0">
              <w:rPr>
                <w:rFonts w:ascii="Garamond" w:hAnsi="Garamond"/>
                <w:b/>
                <w:bCs/>
                <w:sz w:val="20"/>
                <w:szCs w:val="20"/>
              </w:rPr>
              <w:t xml:space="preserve">Standard 2: </w:t>
            </w:r>
            <w:r w:rsidRPr="00E148A0">
              <w:rPr>
                <w:rFonts w:ascii="Garamond" w:hAnsi="Garamond"/>
                <w:b/>
                <w:sz w:val="20"/>
                <w:szCs w:val="20"/>
              </w:rPr>
              <w:t>Supply and Demand</w:t>
            </w:r>
          </w:p>
          <w:p w14:paraId="75BDE3B0" w14:textId="77777777" w:rsidR="0029573E" w:rsidRDefault="0029573E" w:rsidP="00B86B68">
            <w:pPr>
              <w:pStyle w:val="Standard"/>
              <w:autoSpaceDE w:val="0"/>
              <w:ind w:left="900" w:hanging="900"/>
              <w:rPr>
                <w:rFonts w:ascii="Garamond" w:hAnsi="Garamond"/>
                <w:i/>
                <w:iCs/>
                <w:sz w:val="20"/>
                <w:szCs w:val="20"/>
              </w:rPr>
            </w:pPr>
            <w:r w:rsidRPr="00E148A0">
              <w:rPr>
                <w:rFonts w:ascii="Garamond" w:hAnsi="Garamond"/>
                <w:i/>
                <w:iCs/>
                <w:sz w:val="20"/>
                <w:szCs w:val="20"/>
              </w:rPr>
              <w:t>E.2.4 Describe how prices send signals to buyers and sellers.</w:t>
            </w:r>
          </w:p>
          <w:p w14:paraId="10D4BAAC" w14:textId="77777777" w:rsidR="00B86B68" w:rsidRPr="00E148A0" w:rsidRDefault="00B86B68" w:rsidP="00B86B68">
            <w:pPr>
              <w:pStyle w:val="Standard"/>
              <w:autoSpaceDE w:val="0"/>
              <w:ind w:left="900" w:hanging="900"/>
              <w:rPr>
                <w:rFonts w:ascii="Garamond" w:hAnsi="Garamond"/>
                <w:i/>
                <w:iCs/>
                <w:sz w:val="20"/>
                <w:szCs w:val="20"/>
              </w:rPr>
            </w:pPr>
          </w:p>
          <w:p w14:paraId="4C0A02F8" w14:textId="77777777" w:rsidR="0029573E" w:rsidRPr="00E148A0" w:rsidRDefault="0029573E" w:rsidP="00B86B68">
            <w:pPr>
              <w:pStyle w:val="Standard"/>
              <w:autoSpaceDE w:val="0"/>
              <w:rPr>
                <w:rFonts w:ascii="Garamond" w:hAnsi="Garamond"/>
                <w:b/>
                <w:bCs/>
                <w:sz w:val="20"/>
                <w:szCs w:val="20"/>
              </w:rPr>
            </w:pPr>
            <w:r w:rsidRPr="00E148A0">
              <w:rPr>
                <w:rFonts w:ascii="Garamond" w:hAnsi="Garamond"/>
                <w:b/>
                <w:bCs/>
                <w:sz w:val="20"/>
                <w:szCs w:val="20"/>
              </w:rPr>
              <w:t>Standard 4: The Role of Government</w:t>
            </w:r>
          </w:p>
          <w:p w14:paraId="3720BD8F" w14:textId="77777777" w:rsidR="0029573E" w:rsidRPr="00E148A0" w:rsidRDefault="0029573E" w:rsidP="00B86B68">
            <w:pPr>
              <w:pStyle w:val="Standard"/>
              <w:autoSpaceDE w:val="0"/>
              <w:rPr>
                <w:rFonts w:ascii="Garamond" w:hAnsi="Garamond"/>
                <w:sz w:val="20"/>
                <w:szCs w:val="20"/>
              </w:rPr>
            </w:pPr>
            <w:r w:rsidRPr="00E148A0">
              <w:rPr>
                <w:rFonts w:ascii="Garamond" w:hAnsi="Garamond"/>
                <w:sz w:val="20"/>
                <w:szCs w:val="20"/>
              </w:rPr>
              <w:t>E.4.10 Use an economic decision-making model to analyze a public policy issue.</w:t>
            </w:r>
          </w:p>
          <w:p w14:paraId="7E14EC24" w14:textId="77777777" w:rsidR="0029573E" w:rsidRDefault="0029573E" w:rsidP="00B86B68">
            <w:pPr>
              <w:pStyle w:val="Standard"/>
              <w:autoSpaceDE w:val="0"/>
              <w:ind w:left="900" w:hanging="900"/>
              <w:rPr>
                <w:rFonts w:ascii="Garamond" w:hAnsi="Garamond"/>
                <w:i/>
                <w:iCs/>
                <w:sz w:val="20"/>
                <w:szCs w:val="20"/>
              </w:rPr>
            </w:pPr>
            <w:r w:rsidRPr="00E148A0">
              <w:rPr>
                <w:rFonts w:ascii="Garamond" w:hAnsi="Garamond"/>
                <w:i/>
                <w:iCs/>
                <w:sz w:val="20"/>
                <w:szCs w:val="20"/>
              </w:rPr>
              <w:t>(Government)</w:t>
            </w:r>
          </w:p>
          <w:p w14:paraId="03B40F14" w14:textId="77777777" w:rsidR="00B86B68" w:rsidRPr="00E148A0" w:rsidRDefault="00B86B68" w:rsidP="00B86B68">
            <w:pPr>
              <w:pStyle w:val="Standard"/>
              <w:autoSpaceDE w:val="0"/>
              <w:ind w:left="900" w:hanging="900"/>
              <w:rPr>
                <w:rFonts w:ascii="Garamond" w:hAnsi="Garamond"/>
                <w:i/>
                <w:iCs/>
                <w:sz w:val="20"/>
                <w:szCs w:val="20"/>
              </w:rPr>
            </w:pPr>
          </w:p>
          <w:p w14:paraId="2DB31841" w14:textId="77777777" w:rsidR="0029573E" w:rsidRPr="00E148A0" w:rsidRDefault="0029573E" w:rsidP="00B86B68">
            <w:pPr>
              <w:pStyle w:val="Standard"/>
              <w:autoSpaceDE w:val="0"/>
              <w:rPr>
                <w:rFonts w:ascii="Garamond" w:hAnsi="Garamond"/>
                <w:b/>
                <w:bCs/>
                <w:sz w:val="20"/>
                <w:szCs w:val="20"/>
              </w:rPr>
            </w:pPr>
            <w:r w:rsidRPr="00E148A0">
              <w:rPr>
                <w:rFonts w:ascii="Garamond" w:hAnsi="Garamond"/>
                <w:b/>
                <w:bCs/>
                <w:sz w:val="20"/>
                <w:szCs w:val="20"/>
              </w:rPr>
              <w:t>Standard 6: Money and the Role of Financial Institutions</w:t>
            </w:r>
          </w:p>
          <w:p w14:paraId="4AB652F9" w14:textId="77777777" w:rsidR="0029573E" w:rsidRPr="00E148A0" w:rsidRDefault="0029573E" w:rsidP="00B86B68">
            <w:pPr>
              <w:pStyle w:val="Standard"/>
              <w:autoSpaceDE w:val="0"/>
              <w:rPr>
                <w:rFonts w:ascii="Garamond" w:hAnsi="Garamond"/>
                <w:sz w:val="20"/>
                <w:szCs w:val="20"/>
              </w:rPr>
            </w:pPr>
            <w:r w:rsidRPr="00E148A0">
              <w:rPr>
                <w:rFonts w:ascii="Garamond" w:hAnsi="Garamond"/>
                <w:sz w:val="20"/>
                <w:szCs w:val="20"/>
              </w:rPr>
              <w:t>E.6.1 Explain the basic functions of money.</w:t>
            </w:r>
          </w:p>
          <w:p w14:paraId="4F9A00BC" w14:textId="77777777" w:rsidR="0029573E" w:rsidRPr="00E148A0" w:rsidRDefault="0029573E" w:rsidP="00B86B68">
            <w:pPr>
              <w:pStyle w:val="Standard"/>
              <w:autoSpaceDE w:val="0"/>
              <w:rPr>
                <w:rFonts w:ascii="Garamond" w:hAnsi="Garamond"/>
                <w:i/>
                <w:iCs/>
                <w:sz w:val="20"/>
                <w:szCs w:val="20"/>
              </w:rPr>
            </w:pPr>
            <w:r w:rsidRPr="00E148A0">
              <w:rPr>
                <w:rFonts w:ascii="Garamond" w:hAnsi="Garamond"/>
                <w:i/>
                <w:iCs/>
                <w:sz w:val="20"/>
                <w:szCs w:val="20"/>
              </w:rPr>
              <w:t>E.6.2 Identify the composition of the money supply of the United States.</w:t>
            </w:r>
          </w:p>
          <w:p w14:paraId="621B03D0" w14:textId="77777777" w:rsidR="0029573E" w:rsidRPr="00E148A0" w:rsidRDefault="0029573E" w:rsidP="00B86B68">
            <w:pPr>
              <w:pStyle w:val="Standard"/>
              <w:autoSpaceDE w:val="0"/>
              <w:rPr>
                <w:rFonts w:ascii="Garamond" w:hAnsi="Garamond"/>
                <w:i/>
                <w:iCs/>
                <w:sz w:val="20"/>
                <w:szCs w:val="20"/>
              </w:rPr>
            </w:pPr>
            <w:r w:rsidRPr="00E148A0">
              <w:rPr>
                <w:rFonts w:ascii="Garamond" w:hAnsi="Garamond"/>
                <w:i/>
                <w:iCs/>
                <w:sz w:val="20"/>
                <w:szCs w:val="20"/>
              </w:rPr>
              <w:t>E.6.3 Explain the role of banks and other financial institutions in the economy of the United States.</w:t>
            </w:r>
          </w:p>
          <w:p w14:paraId="416E2265" w14:textId="77777777" w:rsidR="0029573E" w:rsidRPr="00E148A0" w:rsidRDefault="0029573E" w:rsidP="00B86B68">
            <w:pPr>
              <w:pStyle w:val="Standard"/>
              <w:autoSpaceDE w:val="0"/>
              <w:rPr>
                <w:rFonts w:ascii="Garamond" w:hAnsi="Garamond"/>
                <w:i/>
                <w:iCs/>
                <w:sz w:val="20"/>
                <w:szCs w:val="20"/>
              </w:rPr>
            </w:pPr>
            <w:r w:rsidRPr="00E148A0">
              <w:rPr>
                <w:rFonts w:ascii="Garamond" w:hAnsi="Garamond"/>
                <w:i/>
                <w:iCs/>
                <w:sz w:val="20"/>
                <w:szCs w:val="20"/>
              </w:rPr>
              <w:t>E.6.5 Describe the organization and functions of the Federal Reserve System.</w:t>
            </w:r>
          </w:p>
          <w:p w14:paraId="392A62BF" w14:textId="77777777" w:rsidR="0029573E" w:rsidRPr="00E148A0" w:rsidRDefault="0029573E" w:rsidP="00B86B68">
            <w:pPr>
              <w:pStyle w:val="Standard"/>
              <w:autoSpaceDE w:val="0"/>
              <w:rPr>
                <w:rFonts w:ascii="Garamond" w:hAnsi="Garamond"/>
                <w:i/>
                <w:iCs/>
                <w:sz w:val="20"/>
                <w:szCs w:val="20"/>
              </w:rPr>
            </w:pPr>
            <w:r w:rsidRPr="00E148A0">
              <w:rPr>
                <w:rFonts w:ascii="Garamond" w:hAnsi="Garamond"/>
                <w:i/>
                <w:iCs/>
                <w:sz w:val="20"/>
                <w:szCs w:val="20"/>
              </w:rPr>
              <w:t>(Government)</w:t>
            </w:r>
          </w:p>
          <w:p w14:paraId="2A1AFC00" w14:textId="77777777" w:rsidR="0029573E" w:rsidRDefault="0029573E" w:rsidP="00B86B68">
            <w:pPr>
              <w:pStyle w:val="Standard"/>
              <w:autoSpaceDE w:val="0"/>
              <w:rPr>
                <w:rFonts w:ascii="Garamond" w:hAnsi="Garamond"/>
                <w:i/>
                <w:iCs/>
                <w:sz w:val="20"/>
                <w:szCs w:val="20"/>
              </w:rPr>
            </w:pPr>
            <w:r w:rsidRPr="00E148A0">
              <w:rPr>
                <w:rFonts w:ascii="Garamond" w:hAnsi="Garamond"/>
                <w:i/>
                <w:iCs/>
                <w:sz w:val="20"/>
                <w:szCs w:val="20"/>
              </w:rPr>
              <w:t>E.6.7 Demonstrate how banks create money through the principle of fractional reserve banking.</w:t>
            </w:r>
          </w:p>
          <w:p w14:paraId="684251D5" w14:textId="77777777" w:rsidR="00B86B68" w:rsidRPr="00E148A0" w:rsidRDefault="00B86B68" w:rsidP="00B86B68">
            <w:pPr>
              <w:pStyle w:val="Standard"/>
              <w:autoSpaceDE w:val="0"/>
              <w:rPr>
                <w:rFonts w:ascii="Garamond" w:hAnsi="Garamond"/>
                <w:i/>
                <w:iCs/>
                <w:sz w:val="20"/>
                <w:szCs w:val="20"/>
              </w:rPr>
            </w:pPr>
          </w:p>
          <w:p w14:paraId="534A3D4E" w14:textId="77777777" w:rsidR="0029573E" w:rsidRPr="00E148A0" w:rsidRDefault="0029573E" w:rsidP="00B86B68">
            <w:pPr>
              <w:pStyle w:val="Standard"/>
              <w:autoSpaceDE w:val="0"/>
              <w:rPr>
                <w:rFonts w:ascii="Garamond" w:hAnsi="Garamond"/>
                <w:b/>
                <w:bCs/>
                <w:sz w:val="20"/>
                <w:szCs w:val="20"/>
              </w:rPr>
            </w:pPr>
            <w:r w:rsidRPr="00E148A0">
              <w:rPr>
                <w:rFonts w:ascii="Garamond" w:hAnsi="Garamond"/>
                <w:b/>
                <w:bCs/>
                <w:sz w:val="20"/>
                <w:szCs w:val="20"/>
              </w:rPr>
              <w:t xml:space="preserve">Standard 8: </w:t>
            </w:r>
            <w:r w:rsidRPr="00E148A0">
              <w:rPr>
                <w:rFonts w:ascii="Garamond" w:hAnsi="Garamond"/>
                <w:b/>
                <w:sz w:val="20"/>
                <w:szCs w:val="20"/>
              </w:rPr>
              <w:t>Trade</w:t>
            </w:r>
          </w:p>
          <w:p w14:paraId="621ECCE0" w14:textId="77777777" w:rsidR="0029573E" w:rsidRPr="00E148A0" w:rsidRDefault="0029573E" w:rsidP="00B86B68">
            <w:pPr>
              <w:pStyle w:val="Standard"/>
              <w:autoSpaceDE w:val="0"/>
              <w:rPr>
                <w:rFonts w:ascii="Garamond" w:hAnsi="Garamond"/>
                <w:sz w:val="20"/>
                <w:szCs w:val="20"/>
              </w:rPr>
            </w:pPr>
            <w:r w:rsidRPr="00E148A0">
              <w:rPr>
                <w:rFonts w:ascii="Garamond" w:hAnsi="Garamond"/>
                <w:sz w:val="20"/>
                <w:szCs w:val="20"/>
              </w:rPr>
              <w:t>E.8.1 Explain the benefits of trade among individuals, regions and countries.</w:t>
            </w:r>
          </w:p>
          <w:p w14:paraId="52A68AA9" w14:textId="77777777" w:rsidR="0029573E" w:rsidRPr="00E148A0" w:rsidRDefault="0029573E" w:rsidP="00B86B68">
            <w:pPr>
              <w:pStyle w:val="Standard"/>
              <w:autoSpaceDE w:val="0"/>
              <w:rPr>
                <w:rFonts w:ascii="Garamond" w:hAnsi="Garamond"/>
                <w:i/>
                <w:iCs/>
                <w:sz w:val="20"/>
                <w:szCs w:val="20"/>
              </w:rPr>
            </w:pPr>
            <w:r w:rsidRPr="00E148A0">
              <w:rPr>
                <w:rFonts w:ascii="Garamond" w:hAnsi="Garamond"/>
                <w:i/>
                <w:iCs/>
                <w:sz w:val="20"/>
                <w:szCs w:val="20"/>
              </w:rPr>
              <w:t>(Geography; Individuals, Society and Culture)</w:t>
            </w:r>
          </w:p>
          <w:p w14:paraId="5A2254B4" w14:textId="77777777" w:rsidR="0029573E" w:rsidRPr="00E148A0" w:rsidRDefault="0029573E" w:rsidP="00B86B68">
            <w:pPr>
              <w:pStyle w:val="Standard"/>
              <w:autoSpaceDE w:val="0"/>
              <w:rPr>
                <w:rFonts w:ascii="Garamond" w:hAnsi="Garamond"/>
                <w:sz w:val="20"/>
                <w:szCs w:val="20"/>
              </w:rPr>
            </w:pPr>
            <w:r w:rsidRPr="00E148A0">
              <w:rPr>
                <w:rFonts w:ascii="Garamond" w:hAnsi="Garamond"/>
                <w:i/>
                <w:iCs/>
                <w:sz w:val="20"/>
                <w:szCs w:val="20"/>
              </w:rPr>
              <w:t>E.8.8 Explain how changes in exchange rates impact the purchasing power of people in the United States and other countries. (Individuals, Society and Culture)</w:t>
            </w:r>
          </w:p>
        </w:tc>
      </w:tr>
    </w:tbl>
    <w:p w14:paraId="2B1C4101" w14:textId="77777777" w:rsidR="00371D45" w:rsidRDefault="00371D45" w:rsidP="0029573E">
      <w:pPr>
        <w:rPr>
          <w:rFonts w:ascii="Comic Sans MS" w:hAnsi="Comic Sans MS"/>
          <w:color w:val="000000"/>
          <w:sz w:val="20"/>
        </w:rPr>
      </w:pPr>
    </w:p>
    <w:p w14:paraId="75F68692" w14:textId="77777777" w:rsidR="0029573E" w:rsidRDefault="0029573E" w:rsidP="0029573E">
      <w:pPr>
        <w:rPr>
          <w:rFonts w:ascii="Comic Sans MS" w:hAnsi="Comic Sans MS"/>
          <w:color w:val="000000"/>
          <w:sz w:val="20"/>
        </w:rPr>
      </w:pPr>
      <w:r>
        <w:rPr>
          <w:rFonts w:ascii="Comic Sans MS" w:hAnsi="Comic Sans MS"/>
          <w:color w:val="000000"/>
          <w:sz w:val="20"/>
        </w:rPr>
        <w:t xml:space="preserve">Body of Lesson:  </w:t>
      </w:r>
    </w:p>
    <w:p w14:paraId="0D958C9F" w14:textId="77777777" w:rsidR="00B86B68" w:rsidRDefault="00B86B68" w:rsidP="0029573E">
      <w:pPr>
        <w:rPr>
          <w:rFonts w:ascii="Comic Sans MS" w:hAnsi="Comic Sans MS"/>
          <w:color w:val="000000"/>
          <w:sz w:val="20"/>
        </w:rPr>
      </w:pPr>
    </w:p>
    <w:p w14:paraId="3D4073B9" w14:textId="77777777" w:rsidR="0029573E" w:rsidRDefault="0029573E" w:rsidP="0029573E">
      <w:pPr>
        <w:rPr>
          <w:rFonts w:ascii="Comic Sans MS" w:hAnsi="Comic Sans MS"/>
          <w:color w:val="000000"/>
          <w:sz w:val="20"/>
        </w:rPr>
      </w:pPr>
      <w:r>
        <w:rPr>
          <w:rFonts w:ascii="Comic Sans MS" w:hAnsi="Comic Sans MS"/>
          <w:color w:val="000000"/>
          <w:sz w:val="20"/>
        </w:rPr>
        <w:tab/>
        <w:t>Opening</w:t>
      </w:r>
    </w:p>
    <w:p w14:paraId="6CA45061" w14:textId="77777777" w:rsidR="00E148A0" w:rsidRDefault="00C653F9" w:rsidP="0029573E">
      <w:pPr>
        <w:rPr>
          <w:sz w:val="20"/>
        </w:rPr>
      </w:pPr>
      <w:r>
        <w:rPr>
          <w:sz w:val="20"/>
        </w:rPr>
        <w:t xml:space="preserve">Use the “Euro and the ECB” PowerPoint presentation attached to this lesson plan to help guide you and the students through the following exercise.  </w:t>
      </w:r>
      <w:r w:rsidR="00E148A0" w:rsidRPr="002440A9">
        <w:rPr>
          <w:sz w:val="20"/>
        </w:rPr>
        <w:t>Explain how many tourists travel through Europe using the Euro.  This was not the case not too long ago.  Discuss as a class the pros and cons if every state in the US had its own currency.  Write the pros and cons on the board.</w:t>
      </w:r>
    </w:p>
    <w:p w14:paraId="76AC80B6" w14:textId="77777777" w:rsidR="00B86B68" w:rsidRPr="00E148A0" w:rsidRDefault="00B86B68" w:rsidP="0029573E">
      <w:pPr>
        <w:rPr>
          <w:sz w:val="20"/>
        </w:rPr>
      </w:pPr>
    </w:p>
    <w:p w14:paraId="52D2C079" w14:textId="77777777" w:rsidR="0029573E" w:rsidRDefault="0029573E" w:rsidP="0029573E">
      <w:pPr>
        <w:rPr>
          <w:rFonts w:ascii="Comic Sans MS" w:hAnsi="Comic Sans MS"/>
          <w:color w:val="000000"/>
          <w:sz w:val="20"/>
        </w:rPr>
      </w:pPr>
      <w:r>
        <w:rPr>
          <w:rFonts w:ascii="Comic Sans MS" w:hAnsi="Comic Sans MS"/>
          <w:color w:val="000000"/>
          <w:sz w:val="20"/>
        </w:rPr>
        <w:tab/>
        <w:t>Activities</w:t>
      </w:r>
    </w:p>
    <w:p w14:paraId="7A2ED39F" w14:textId="77777777" w:rsidR="00E148A0" w:rsidRPr="00B86B68" w:rsidRDefault="00E148A0" w:rsidP="00B86B68">
      <w:pPr>
        <w:rPr>
          <w:sz w:val="20"/>
        </w:rPr>
      </w:pPr>
      <w:r w:rsidRPr="00B86B68">
        <w:rPr>
          <w:sz w:val="20"/>
        </w:rPr>
        <w:t xml:space="preserve">Students will now each have a copy of the given article pages 10-17.  Give the students time to read these pages (about 15 min +/-).  Once finished, have the students get in groups and answer the </w:t>
      </w:r>
      <w:r w:rsidR="00B86B68" w:rsidRPr="00B86B68">
        <w:rPr>
          <w:b/>
          <w:sz w:val="20"/>
        </w:rPr>
        <w:t xml:space="preserve">One Currency for One Europe </w:t>
      </w:r>
      <w:r w:rsidRPr="00B86B68">
        <w:rPr>
          <w:sz w:val="20"/>
        </w:rPr>
        <w:t>handout</w:t>
      </w:r>
      <w:r w:rsidR="00B86B68">
        <w:rPr>
          <w:sz w:val="20"/>
        </w:rPr>
        <w:t xml:space="preserve"> (see below)</w:t>
      </w:r>
      <w:r w:rsidRPr="00B86B68">
        <w:rPr>
          <w:sz w:val="20"/>
        </w:rPr>
        <w:t xml:space="preserve"> as a group.  They will be able to use the article to answer these questions.  Monitor the groups as they discuss the handout.</w:t>
      </w:r>
    </w:p>
    <w:p w14:paraId="717969A7" w14:textId="77777777" w:rsidR="00B86B68" w:rsidRPr="00E148A0" w:rsidRDefault="00B86B68" w:rsidP="0029573E">
      <w:pPr>
        <w:rPr>
          <w:sz w:val="20"/>
        </w:rPr>
      </w:pPr>
    </w:p>
    <w:p w14:paraId="59D72546" w14:textId="77777777" w:rsidR="0029573E" w:rsidRDefault="0029573E" w:rsidP="0029573E">
      <w:pPr>
        <w:rPr>
          <w:rFonts w:ascii="Comic Sans MS" w:hAnsi="Comic Sans MS"/>
          <w:color w:val="000000"/>
          <w:sz w:val="20"/>
        </w:rPr>
      </w:pPr>
      <w:r>
        <w:rPr>
          <w:rFonts w:ascii="Comic Sans MS" w:hAnsi="Comic Sans MS"/>
          <w:color w:val="000000"/>
          <w:sz w:val="20"/>
        </w:rPr>
        <w:tab/>
        <w:t>Closing</w:t>
      </w:r>
    </w:p>
    <w:p w14:paraId="2DBDE724" w14:textId="77777777" w:rsidR="00E148A0" w:rsidRPr="002440A9" w:rsidRDefault="00E148A0" w:rsidP="00E148A0">
      <w:pPr>
        <w:rPr>
          <w:sz w:val="20"/>
        </w:rPr>
      </w:pPr>
      <w:r w:rsidRPr="002440A9">
        <w:rPr>
          <w:sz w:val="20"/>
        </w:rPr>
        <w:t>As a class, review the sheet discussing the answers. (After question #3, ask the class if any country can adopt the Euro.  Explain what a country must do in order to apply for adoption).   For the final questions, be sure to take answers from multiple groups.  These answers will vary from group to group.  Collecting the handout as points is optional.</w:t>
      </w:r>
    </w:p>
    <w:p w14:paraId="69591B74" w14:textId="77777777" w:rsidR="00371D45" w:rsidRDefault="00371D45" w:rsidP="0029573E">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18"/>
      </w:tblGrid>
      <w:tr w:rsidR="0029573E" w14:paraId="1B08207D" w14:textId="77777777" w:rsidTr="00E148A0">
        <w:tc>
          <w:tcPr>
            <w:tcW w:w="9018" w:type="dxa"/>
          </w:tcPr>
          <w:p w14:paraId="1A7F2701" w14:textId="77777777" w:rsidR="0029573E" w:rsidRDefault="0029573E" w:rsidP="00E148A0">
            <w:pPr>
              <w:rPr>
                <w:rFonts w:ascii="Comic Sans MS" w:hAnsi="Comic Sans MS"/>
                <w:color w:val="000000"/>
                <w:sz w:val="20"/>
              </w:rPr>
            </w:pPr>
            <w:r>
              <w:rPr>
                <w:rFonts w:ascii="Comic Sans MS" w:hAnsi="Comic Sans MS"/>
                <w:color w:val="000000"/>
                <w:sz w:val="20"/>
              </w:rPr>
              <w:t>How will the learning be assessed?</w:t>
            </w:r>
          </w:p>
        </w:tc>
      </w:tr>
      <w:tr w:rsidR="0029573E" w14:paraId="172F2CAC" w14:textId="77777777" w:rsidTr="00E148A0">
        <w:tc>
          <w:tcPr>
            <w:tcW w:w="9018" w:type="dxa"/>
          </w:tcPr>
          <w:p w14:paraId="21D32E0F" w14:textId="77777777" w:rsidR="00E148A0" w:rsidRPr="00C653F9" w:rsidRDefault="00E148A0" w:rsidP="00371D45">
            <w:pPr>
              <w:pStyle w:val="Heading1"/>
              <w:spacing w:before="120"/>
              <w:rPr>
                <w:rFonts w:ascii="Garamond" w:hAnsi="Garamond"/>
                <w:color w:val="auto"/>
                <w:sz w:val="20"/>
                <w:szCs w:val="20"/>
              </w:rPr>
            </w:pPr>
            <w:r w:rsidRPr="00C653F9">
              <w:rPr>
                <w:rFonts w:ascii="Garamond" w:hAnsi="Garamond"/>
                <w:color w:val="auto"/>
                <w:sz w:val="20"/>
                <w:szCs w:val="20"/>
              </w:rPr>
              <w:t>Student Evaluation:</w:t>
            </w:r>
          </w:p>
          <w:p w14:paraId="3D9AB656" w14:textId="77777777" w:rsidR="00B86B68" w:rsidRPr="00C653F9" w:rsidRDefault="00E148A0" w:rsidP="00E148A0">
            <w:pPr>
              <w:rPr>
                <w:sz w:val="20"/>
              </w:rPr>
            </w:pPr>
            <w:r w:rsidRPr="00C653F9">
              <w:rPr>
                <w:sz w:val="20"/>
              </w:rPr>
              <w:t>The s</w:t>
            </w:r>
            <w:r w:rsidR="00B86B68" w:rsidRPr="00C653F9">
              <w:rPr>
                <w:sz w:val="20"/>
              </w:rPr>
              <w:t>tudents will be evaluated in two ways:</w:t>
            </w:r>
          </w:p>
          <w:p w14:paraId="7351E69E" w14:textId="77777777" w:rsidR="00B86B68" w:rsidRPr="00C653F9" w:rsidRDefault="00E148A0" w:rsidP="00B86B68">
            <w:pPr>
              <w:pStyle w:val="ListParagraph"/>
              <w:numPr>
                <w:ilvl w:val="0"/>
                <w:numId w:val="5"/>
              </w:numPr>
              <w:rPr>
                <w:sz w:val="20"/>
              </w:rPr>
            </w:pPr>
            <w:r w:rsidRPr="00C653F9">
              <w:rPr>
                <w:sz w:val="20"/>
              </w:rPr>
              <w:t xml:space="preserve">First, the class discussion will show what the students have learned.  This will be a great gauge to see if the students grasp the concept of the Euro.  </w:t>
            </w:r>
          </w:p>
          <w:p w14:paraId="28093263" w14:textId="77777777" w:rsidR="00B86B68" w:rsidRPr="00C653F9" w:rsidRDefault="00E148A0" w:rsidP="00B86B68">
            <w:pPr>
              <w:pStyle w:val="ListParagraph"/>
              <w:numPr>
                <w:ilvl w:val="0"/>
                <w:numId w:val="5"/>
              </w:numPr>
              <w:rPr>
                <w:sz w:val="20"/>
              </w:rPr>
            </w:pPr>
            <w:r w:rsidRPr="00C653F9">
              <w:rPr>
                <w:sz w:val="20"/>
              </w:rPr>
              <w:t>Second, the students will have an essay on their next test.  Students should be able list 2-3 reasons why countries adapt the Euro.</w:t>
            </w:r>
          </w:p>
          <w:p w14:paraId="03DEC487" w14:textId="77777777" w:rsidR="00E148A0" w:rsidRPr="00C653F9" w:rsidRDefault="00E148A0" w:rsidP="00E148A0">
            <w:pPr>
              <w:pStyle w:val="Heading1"/>
              <w:spacing w:before="200"/>
              <w:rPr>
                <w:rFonts w:ascii="Garamond" w:hAnsi="Garamond"/>
                <w:color w:val="auto"/>
                <w:sz w:val="20"/>
                <w:szCs w:val="20"/>
              </w:rPr>
            </w:pPr>
            <w:r w:rsidRPr="00C653F9">
              <w:rPr>
                <w:rFonts w:ascii="Garamond" w:hAnsi="Garamond"/>
                <w:color w:val="auto"/>
                <w:sz w:val="20"/>
                <w:szCs w:val="20"/>
              </w:rPr>
              <w:t>Self-Evaluation:</w:t>
            </w:r>
          </w:p>
          <w:p w14:paraId="14262A3D" w14:textId="77777777" w:rsidR="0029573E" w:rsidRPr="00C653F9" w:rsidRDefault="00E148A0" w:rsidP="00371D45">
            <w:pPr>
              <w:spacing w:after="120"/>
              <w:rPr>
                <w:sz w:val="20"/>
              </w:rPr>
            </w:pPr>
            <w:r w:rsidRPr="00C653F9">
              <w:rPr>
                <w:sz w:val="20"/>
              </w:rPr>
              <w:t>The key to this lesson is the class discussion.  The students should participate in both the pre and post-reading.  It is important not to let one or two students dominate the discussion.  I will be able to see how interested they are during class.  I will be able to see what they retained when I see the answers to the essay on the test.</w:t>
            </w:r>
          </w:p>
        </w:tc>
      </w:tr>
    </w:tbl>
    <w:p w14:paraId="07D1730B" w14:textId="77777777" w:rsidR="0029573E" w:rsidRDefault="0029573E" w:rsidP="0029573E">
      <w:pPr>
        <w:rPr>
          <w:rFonts w:ascii="Comic Sans MS" w:hAnsi="Comic Sans MS"/>
          <w:color w:val="000000"/>
          <w:sz w:val="20"/>
        </w:rPr>
      </w:pPr>
    </w:p>
    <w:p w14:paraId="09371516" w14:textId="77777777" w:rsidR="0029573E" w:rsidRDefault="0029573E" w:rsidP="0029573E">
      <w:pPr>
        <w:rPr>
          <w:rFonts w:ascii="Comic Sans MS" w:hAnsi="Comic Sans MS"/>
          <w:color w:val="000000"/>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18"/>
      </w:tblGrid>
      <w:tr w:rsidR="0029573E" w14:paraId="628E817F" w14:textId="77777777" w:rsidTr="00E148A0">
        <w:tc>
          <w:tcPr>
            <w:tcW w:w="9018" w:type="dxa"/>
          </w:tcPr>
          <w:p w14:paraId="2130A74A" w14:textId="77777777" w:rsidR="0029573E" w:rsidRDefault="0029573E" w:rsidP="00C653F9">
            <w:pPr>
              <w:pStyle w:val="OmniPage1"/>
              <w:spacing w:line="240" w:lineRule="auto"/>
              <w:rPr>
                <w:rFonts w:ascii="Comic Sans MS" w:hAnsi="Comic Sans MS"/>
                <w:color w:val="000000"/>
                <w:kern w:val="28"/>
              </w:rPr>
            </w:pPr>
            <w:r>
              <w:rPr>
                <w:rFonts w:ascii="Comic Sans MS" w:hAnsi="Comic Sans MS"/>
                <w:color w:val="000000"/>
                <w:kern w:val="28"/>
              </w:rPr>
              <w:t>Resources/Materials</w:t>
            </w:r>
          </w:p>
        </w:tc>
      </w:tr>
      <w:tr w:rsidR="0029573E" w14:paraId="786D9E87" w14:textId="77777777" w:rsidTr="00E148A0">
        <w:tc>
          <w:tcPr>
            <w:tcW w:w="9018" w:type="dxa"/>
          </w:tcPr>
          <w:p w14:paraId="100AC725" w14:textId="77777777" w:rsidR="00371D45" w:rsidRPr="00C653F9" w:rsidRDefault="00371D45" w:rsidP="00C653F9">
            <w:pPr>
              <w:rPr>
                <w:sz w:val="20"/>
              </w:rPr>
            </w:pPr>
            <w:r w:rsidRPr="00C653F9">
              <w:rPr>
                <w:i/>
                <w:sz w:val="20"/>
              </w:rPr>
              <w:t>One Currency for One Europe</w:t>
            </w:r>
            <w:r w:rsidR="00B86B68" w:rsidRPr="00C653F9">
              <w:rPr>
                <w:sz w:val="20"/>
              </w:rPr>
              <w:t xml:space="preserve"> Article</w:t>
            </w:r>
            <w:r w:rsidRPr="00C653F9">
              <w:rPr>
                <w:sz w:val="20"/>
              </w:rPr>
              <w:t xml:space="preserve"> (pages 3, 10-13, 16, 17)</w:t>
            </w:r>
          </w:p>
          <w:p w14:paraId="0886A066" w14:textId="77777777" w:rsidR="00371D45" w:rsidRPr="00C653F9" w:rsidRDefault="00DE666F" w:rsidP="00C653F9">
            <w:pPr>
              <w:rPr>
                <w:sz w:val="20"/>
              </w:rPr>
            </w:pPr>
            <w:r>
              <w:rPr>
                <w:sz w:val="20"/>
              </w:rPr>
              <w:t xml:space="preserve">Available at </w:t>
            </w:r>
            <w:hyperlink r:id="rId6" w:history="1">
              <w:r w:rsidR="00371D45" w:rsidRPr="00C653F9">
                <w:rPr>
                  <w:rStyle w:val="Hyperlink"/>
                  <w:sz w:val="20"/>
                </w:rPr>
                <w:t>http://ec.europa.eu/economy_finance/publications/publication6730_en.pdf</w:t>
              </w:r>
            </w:hyperlink>
          </w:p>
          <w:p w14:paraId="2FC4273F" w14:textId="77777777" w:rsidR="00B86B68" w:rsidRPr="00C653F9" w:rsidRDefault="00B86B68" w:rsidP="00C653F9">
            <w:pPr>
              <w:rPr>
                <w:sz w:val="20"/>
              </w:rPr>
            </w:pPr>
          </w:p>
          <w:p w14:paraId="13226C96" w14:textId="77777777" w:rsidR="00B86B68" w:rsidRPr="00C653F9" w:rsidRDefault="00B86B68" w:rsidP="00C653F9">
            <w:pPr>
              <w:rPr>
                <w:sz w:val="20"/>
              </w:rPr>
            </w:pPr>
            <w:r w:rsidRPr="00C653F9">
              <w:rPr>
                <w:sz w:val="20"/>
              </w:rPr>
              <w:t xml:space="preserve">“The Euro and the ECB” </w:t>
            </w:r>
            <w:proofErr w:type="spellStart"/>
            <w:r w:rsidRPr="00C653F9">
              <w:rPr>
                <w:sz w:val="20"/>
              </w:rPr>
              <w:t>Powerpoint</w:t>
            </w:r>
            <w:proofErr w:type="spellEnd"/>
          </w:p>
          <w:p w14:paraId="2AAC8206" w14:textId="77777777" w:rsidR="00B86B68" w:rsidRDefault="00DE666F" w:rsidP="00C653F9">
            <w:pPr>
              <w:rPr>
                <w:sz w:val="20"/>
              </w:rPr>
            </w:pPr>
            <w:r>
              <w:rPr>
                <w:sz w:val="20"/>
              </w:rPr>
              <w:t xml:space="preserve">Available at </w:t>
            </w:r>
            <w:hyperlink r:id="rId7" w:history="1">
              <w:r w:rsidRPr="003413B5">
                <w:rPr>
                  <w:rStyle w:val="Hyperlink"/>
                  <w:sz w:val="20"/>
                </w:rPr>
                <w:t>http://www.indiana.edu/~eucenter/curricular_resources.shtml</w:t>
              </w:r>
            </w:hyperlink>
          </w:p>
          <w:p w14:paraId="3704D741" w14:textId="77777777" w:rsidR="00DE666F" w:rsidRPr="00C653F9" w:rsidRDefault="00DE666F" w:rsidP="00C653F9">
            <w:pPr>
              <w:rPr>
                <w:sz w:val="20"/>
              </w:rPr>
            </w:pPr>
          </w:p>
          <w:p w14:paraId="4FC29F7F" w14:textId="77777777" w:rsidR="0029573E" w:rsidRPr="00C653F9" w:rsidRDefault="00371D45" w:rsidP="00C653F9">
            <w:pPr>
              <w:rPr>
                <w:sz w:val="20"/>
              </w:rPr>
            </w:pPr>
            <w:r w:rsidRPr="00C653F9">
              <w:rPr>
                <w:sz w:val="20"/>
              </w:rPr>
              <w:t>Marker board or Large Sheets of Paper</w:t>
            </w:r>
          </w:p>
        </w:tc>
      </w:tr>
    </w:tbl>
    <w:p w14:paraId="2067A79E" w14:textId="77777777" w:rsidR="0029573E" w:rsidRDefault="0029573E" w:rsidP="0029573E">
      <w:pPr>
        <w:rPr>
          <w:rFonts w:ascii="Comic Sans MS" w:hAnsi="Comic Sans MS"/>
          <w:color w:val="000000"/>
          <w:sz w:val="20"/>
        </w:rPr>
      </w:pPr>
    </w:p>
    <w:p w14:paraId="43961491" w14:textId="77777777" w:rsidR="0029573E" w:rsidRDefault="0029573E" w:rsidP="0029573E">
      <w:pPr>
        <w:rPr>
          <w:rFonts w:ascii="Comic Sans MS" w:hAnsi="Comic Sans MS"/>
          <w:color w:val="000000"/>
          <w:sz w:val="20"/>
        </w:rPr>
      </w:pPr>
    </w:p>
    <w:p w14:paraId="6F9FD30B" w14:textId="77777777" w:rsidR="00B86B68" w:rsidRDefault="00B86B68">
      <w:pPr>
        <w:spacing w:after="200" w:line="276" w:lineRule="auto"/>
      </w:pPr>
      <w:r>
        <w:br w:type="page"/>
      </w:r>
    </w:p>
    <w:p w14:paraId="61703B10" w14:textId="77777777" w:rsidR="00B86B68" w:rsidRPr="007C3938" w:rsidRDefault="00B86B68" w:rsidP="00B86B68">
      <w:pPr>
        <w:ind w:left="7200" w:firstLine="720"/>
        <w:rPr>
          <w:b/>
        </w:rPr>
      </w:pPr>
      <w:r w:rsidRPr="007C3938">
        <w:rPr>
          <w:b/>
          <w:sz w:val="28"/>
          <w:szCs w:val="28"/>
        </w:rPr>
        <w:lastRenderedPageBreak/>
        <w:t>Names</w:t>
      </w:r>
      <w:r w:rsidRPr="007C3938">
        <w:rPr>
          <w:b/>
        </w:rPr>
        <w:t>:</w:t>
      </w:r>
    </w:p>
    <w:p w14:paraId="2996CE93" w14:textId="77777777" w:rsidR="00B86B68" w:rsidRPr="007C3938" w:rsidRDefault="00B86B68" w:rsidP="00B86B68">
      <w:pPr>
        <w:rPr>
          <w:b/>
        </w:rPr>
      </w:pPr>
    </w:p>
    <w:p w14:paraId="197F9740" w14:textId="77777777" w:rsidR="00B86B68" w:rsidRPr="007C3938" w:rsidRDefault="00B86B68" w:rsidP="00B86B68">
      <w:pPr>
        <w:jc w:val="center"/>
        <w:rPr>
          <w:b/>
          <w:sz w:val="44"/>
          <w:szCs w:val="44"/>
        </w:rPr>
      </w:pPr>
    </w:p>
    <w:p w14:paraId="4EDA2E6B" w14:textId="77777777" w:rsidR="00B86B68" w:rsidRPr="007C3938" w:rsidRDefault="00B86B68" w:rsidP="00B86B68">
      <w:pPr>
        <w:jc w:val="center"/>
        <w:rPr>
          <w:b/>
          <w:sz w:val="44"/>
          <w:szCs w:val="44"/>
        </w:rPr>
      </w:pPr>
      <w:r w:rsidRPr="007C3938">
        <w:rPr>
          <w:b/>
          <w:sz w:val="44"/>
          <w:szCs w:val="44"/>
        </w:rPr>
        <w:t>One Currency for One Europe</w:t>
      </w:r>
    </w:p>
    <w:p w14:paraId="2333933E" w14:textId="77777777" w:rsidR="00B86B68" w:rsidRPr="007C3938" w:rsidRDefault="00B86B68" w:rsidP="00B86B68">
      <w:pPr>
        <w:rPr>
          <w:b/>
        </w:rPr>
      </w:pPr>
    </w:p>
    <w:p w14:paraId="0CA4793C" w14:textId="77777777" w:rsidR="00B86B68" w:rsidRPr="007C3938" w:rsidRDefault="00B86B68" w:rsidP="00B86B68">
      <w:pPr>
        <w:rPr>
          <w:b/>
        </w:rPr>
      </w:pPr>
    </w:p>
    <w:p w14:paraId="1CCB9FC2" w14:textId="77777777" w:rsidR="00B86B68" w:rsidRPr="007C3938" w:rsidRDefault="00B86B68" w:rsidP="00B86B68">
      <w:pPr>
        <w:rPr>
          <w:b/>
        </w:rPr>
      </w:pPr>
    </w:p>
    <w:p w14:paraId="4ABC885A" w14:textId="77777777" w:rsidR="00B86B68" w:rsidRPr="007C3938" w:rsidRDefault="00B86B68" w:rsidP="00B86B68">
      <w:pPr>
        <w:pStyle w:val="ListParagraph"/>
        <w:numPr>
          <w:ilvl w:val="0"/>
          <w:numId w:val="4"/>
        </w:numPr>
        <w:rPr>
          <w:b/>
          <w:sz w:val="32"/>
          <w:szCs w:val="32"/>
        </w:rPr>
      </w:pPr>
      <w:r w:rsidRPr="007C3938">
        <w:rPr>
          <w:b/>
          <w:sz w:val="32"/>
          <w:szCs w:val="32"/>
        </w:rPr>
        <w:t xml:space="preserve"> What is an EMU?  Explain.</w:t>
      </w:r>
    </w:p>
    <w:p w14:paraId="3DC7CB59" w14:textId="77777777" w:rsidR="00B86B68" w:rsidRPr="007C3938" w:rsidRDefault="00B86B68" w:rsidP="00B86B68">
      <w:pPr>
        <w:rPr>
          <w:b/>
          <w:sz w:val="32"/>
          <w:szCs w:val="32"/>
        </w:rPr>
      </w:pPr>
    </w:p>
    <w:p w14:paraId="34D0E954" w14:textId="77777777" w:rsidR="00B86B68" w:rsidRPr="007C3938" w:rsidRDefault="00B86B68" w:rsidP="00B86B68">
      <w:pPr>
        <w:rPr>
          <w:b/>
          <w:sz w:val="32"/>
          <w:szCs w:val="32"/>
        </w:rPr>
      </w:pPr>
    </w:p>
    <w:p w14:paraId="4D9406BE" w14:textId="77777777" w:rsidR="00B86B68" w:rsidRPr="007C3938" w:rsidRDefault="00B86B68" w:rsidP="00B86B68">
      <w:pPr>
        <w:pStyle w:val="ListParagraph"/>
        <w:numPr>
          <w:ilvl w:val="0"/>
          <w:numId w:val="4"/>
        </w:numPr>
        <w:rPr>
          <w:b/>
          <w:sz w:val="32"/>
          <w:szCs w:val="32"/>
        </w:rPr>
      </w:pPr>
      <w:r w:rsidRPr="007C3938">
        <w:rPr>
          <w:b/>
          <w:sz w:val="32"/>
          <w:szCs w:val="32"/>
        </w:rPr>
        <w:t>What is the ECB and what is its main goal?</w:t>
      </w:r>
    </w:p>
    <w:p w14:paraId="42D38EF3" w14:textId="77777777" w:rsidR="00B86B68" w:rsidRPr="007C3938" w:rsidRDefault="00B86B68" w:rsidP="00B86B68">
      <w:pPr>
        <w:pStyle w:val="ListParagraph"/>
        <w:rPr>
          <w:b/>
          <w:sz w:val="32"/>
          <w:szCs w:val="32"/>
        </w:rPr>
      </w:pPr>
    </w:p>
    <w:p w14:paraId="491FD7A5" w14:textId="77777777" w:rsidR="00B86B68" w:rsidRPr="007C3938" w:rsidRDefault="00B86B68" w:rsidP="00B86B68">
      <w:pPr>
        <w:pStyle w:val="ListParagraph"/>
        <w:rPr>
          <w:b/>
          <w:sz w:val="32"/>
          <w:szCs w:val="32"/>
        </w:rPr>
      </w:pPr>
    </w:p>
    <w:p w14:paraId="65A0A6D6" w14:textId="77777777" w:rsidR="00B86B68" w:rsidRPr="007C3938" w:rsidRDefault="00B86B68" w:rsidP="00B86B68">
      <w:pPr>
        <w:rPr>
          <w:b/>
          <w:sz w:val="32"/>
          <w:szCs w:val="32"/>
        </w:rPr>
      </w:pPr>
    </w:p>
    <w:p w14:paraId="5F2D4E09" w14:textId="77777777" w:rsidR="00B86B68" w:rsidRPr="007C3938" w:rsidRDefault="00B86B68" w:rsidP="00B86B68">
      <w:pPr>
        <w:pStyle w:val="ListParagraph"/>
        <w:numPr>
          <w:ilvl w:val="0"/>
          <w:numId w:val="4"/>
        </w:numPr>
        <w:rPr>
          <w:b/>
          <w:sz w:val="32"/>
          <w:szCs w:val="32"/>
        </w:rPr>
      </w:pPr>
      <w:r w:rsidRPr="007C3938">
        <w:rPr>
          <w:b/>
          <w:sz w:val="32"/>
          <w:szCs w:val="32"/>
        </w:rPr>
        <w:t>Since 2002, other countries have adopted the Euro.  Explain the two scenarios for adoption.</w:t>
      </w:r>
    </w:p>
    <w:p w14:paraId="6817977E" w14:textId="77777777" w:rsidR="00B86B68" w:rsidRPr="007C3938" w:rsidRDefault="00B86B68" w:rsidP="00B86B68">
      <w:pPr>
        <w:rPr>
          <w:b/>
          <w:sz w:val="32"/>
          <w:szCs w:val="32"/>
        </w:rPr>
      </w:pPr>
    </w:p>
    <w:p w14:paraId="6C1BB003" w14:textId="77777777" w:rsidR="00B86B68" w:rsidRPr="007C3938" w:rsidRDefault="00B86B68" w:rsidP="00B86B68">
      <w:pPr>
        <w:rPr>
          <w:b/>
          <w:sz w:val="32"/>
          <w:szCs w:val="32"/>
        </w:rPr>
      </w:pPr>
    </w:p>
    <w:p w14:paraId="7D3C4ADD" w14:textId="77777777" w:rsidR="00B86B68" w:rsidRPr="007C3938" w:rsidRDefault="00B86B68" w:rsidP="00B86B68">
      <w:pPr>
        <w:rPr>
          <w:b/>
          <w:sz w:val="32"/>
          <w:szCs w:val="32"/>
        </w:rPr>
      </w:pPr>
    </w:p>
    <w:p w14:paraId="0D10F028" w14:textId="77777777" w:rsidR="00B86B68" w:rsidRPr="007C3938" w:rsidRDefault="00B86B68" w:rsidP="00B86B68">
      <w:pPr>
        <w:rPr>
          <w:b/>
          <w:sz w:val="32"/>
          <w:szCs w:val="32"/>
        </w:rPr>
      </w:pPr>
    </w:p>
    <w:p w14:paraId="5DD9E959" w14:textId="77777777" w:rsidR="00B86B68" w:rsidRPr="007C3938" w:rsidRDefault="00B86B68" w:rsidP="00B86B68">
      <w:pPr>
        <w:pStyle w:val="ListParagraph"/>
        <w:numPr>
          <w:ilvl w:val="0"/>
          <w:numId w:val="4"/>
        </w:numPr>
        <w:rPr>
          <w:b/>
          <w:sz w:val="32"/>
          <w:szCs w:val="32"/>
        </w:rPr>
      </w:pPr>
      <w:r w:rsidRPr="007C3938">
        <w:rPr>
          <w:b/>
          <w:sz w:val="32"/>
          <w:szCs w:val="32"/>
        </w:rPr>
        <w:t>Explain two reasons why the Euro is good for the consumer.</w:t>
      </w:r>
    </w:p>
    <w:p w14:paraId="0BD9EBBA" w14:textId="77777777" w:rsidR="00B86B68" w:rsidRPr="007C3938" w:rsidRDefault="00B86B68" w:rsidP="00B86B68">
      <w:pPr>
        <w:rPr>
          <w:b/>
          <w:sz w:val="32"/>
          <w:szCs w:val="32"/>
        </w:rPr>
      </w:pPr>
    </w:p>
    <w:p w14:paraId="423503BB" w14:textId="77777777" w:rsidR="00B86B68" w:rsidRPr="007C3938" w:rsidRDefault="00B86B68" w:rsidP="00B86B68">
      <w:pPr>
        <w:rPr>
          <w:b/>
          <w:sz w:val="32"/>
          <w:szCs w:val="32"/>
        </w:rPr>
      </w:pPr>
    </w:p>
    <w:p w14:paraId="06DCE984" w14:textId="77777777" w:rsidR="00B86B68" w:rsidRPr="007C3938" w:rsidRDefault="00B86B68" w:rsidP="00B86B68">
      <w:pPr>
        <w:rPr>
          <w:b/>
          <w:sz w:val="32"/>
          <w:szCs w:val="32"/>
        </w:rPr>
      </w:pPr>
    </w:p>
    <w:p w14:paraId="63F7127E" w14:textId="77777777" w:rsidR="00B86B68" w:rsidRPr="007C3938" w:rsidRDefault="00B86B68" w:rsidP="00B86B68">
      <w:pPr>
        <w:rPr>
          <w:b/>
          <w:sz w:val="32"/>
          <w:szCs w:val="32"/>
        </w:rPr>
      </w:pPr>
    </w:p>
    <w:p w14:paraId="188D45B1" w14:textId="77777777" w:rsidR="00B86B68" w:rsidRPr="007C3938" w:rsidRDefault="00B86B68" w:rsidP="00B86B68">
      <w:pPr>
        <w:pStyle w:val="ListParagraph"/>
        <w:numPr>
          <w:ilvl w:val="0"/>
          <w:numId w:val="4"/>
        </w:numPr>
        <w:rPr>
          <w:b/>
          <w:sz w:val="32"/>
          <w:szCs w:val="32"/>
        </w:rPr>
      </w:pPr>
      <w:r w:rsidRPr="007C3938">
        <w:rPr>
          <w:b/>
          <w:sz w:val="32"/>
          <w:szCs w:val="32"/>
        </w:rPr>
        <w:t>Explain two reasons why the Euro is good for a nation.</w:t>
      </w:r>
    </w:p>
    <w:p w14:paraId="7EB74993" w14:textId="77777777" w:rsidR="00B86B68" w:rsidRDefault="00B86B68" w:rsidP="00B86B68">
      <w:pPr>
        <w:pStyle w:val="ListParagraph"/>
      </w:pPr>
    </w:p>
    <w:p w14:paraId="588E8808" w14:textId="77777777" w:rsidR="00D74B20" w:rsidRDefault="00D74B20"/>
    <w:sectPr w:rsidR="00D74B20" w:rsidSect="00D74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D4DCE"/>
    <w:multiLevelType w:val="hybridMultilevel"/>
    <w:tmpl w:val="339E8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373315"/>
    <w:multiLevelType w:val="multilevel"/>
    <w:tmpl w:val="E3188F00"/>
    <w:styleLink w:val="WW8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641B3B41"/>
    <w:multiLevelType w:val="hybridMultilevel"/>
    <w:tmpl w:val="E80C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95046"/>
    <w:multiLevelType w:val="hybridMultilevel"/>
    <w:tmpl w:val="E7B6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87263">
    <w:abstractNumId w:val="1"/>
  </w:num>
  <w:num w:numId="2" w16cid:durableId="1842502238">
    <w:abstractNumId w:val="1"/>
  </w:num>
  <w:num w:numId="3" w16cid:durableId="57481217">
    <w:abstractNumId w:val="2"/>
  </w:num>
  <w:num w:numId="4" w16cid:durableId="257062050">
    <w:abstractNumId w:val="3"/>
  </w:num>
  <w:num w:numId="5" w16cid:durableId="1609190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3E"/>
    <w:rsid w:val="00030667"/>
    <w:rsid w:val="00230454"/>
    <w:rsid w:val="0029573E"/>
    <w:rsid w:val="00371D45"/>
    <w:rsid w:val="00494EFF"/>
    <w:rsid w:val="00B86B68"/>
    <w:rsid w:val="00C653F9"/>
    <w:rsid w:val="00D74B20"/>
    <w:rsid w:val="00DE666F"/>
    <w:rsid w:val="00E1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D263E"/>
  <w15:docId w15:val="{2D68B000-5B06-6843-9798-083A0BC5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3E"/>
    <w:pPr>
      <w:spacing w:after="0" w:line="240" w:lineRule="auto"/>
    </w:pPr>
    <w:rPr>
      <w:rFonts w:ascii="Garamond" w:eastAsia="Times New Roman" w:hAnsi="Garamond" w:cs="Times New Roman"/>
      <w:kern w:val="28"/>
      <w:sz w:val="16"/>
      <w:szCs w:val="20"/>
    </w:rPr>
  </w:style>
  <w:style w:type="paragraph" w:styleId="Heading1">
    <w:name w:val="heading 1"/>
    <w:basedOn w:val="Normal"/>
    <w:next w:val="Normal"/>
    <w:link w:val="Heading1Char"/>
    <w:uiPriority w:val="9"/>
    <w:qFormat/>
    <w:rsid w:val="00E148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57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573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9573E"/>
    <w:pPr>
      <w:keepNext/>
      <w:jc w:val="center"/>
      <w:outlineLvl w:val="5"/>
    </w:pPr>
    <w:rPr>
      <w:rFonts w:ascii="Comic Sans MS" w:hAnsi="Comic Sans M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9573E"/>
    <w:rPr>
      <w:rFonts w:ascii="Comic Sans MS" w:eastAsia="Times New Roman" w:hAnsi="Comic Sans MS" w:cs="Times New Roman"/>
      <w:kern w:val="28"/>
      <w:sz w:val="20"/>
      <w:szCs w:val="20"/>
    </w:rPr>
  </w:style>
  <w:style w:type="paragraph" w:customStyle="1" w:styleId="OmniPage1">
    <w:name w:val="OmniPage #1"/>
    <w:basedOn w:val="Normal"/>
    <w:rsid w:val="0029573E"/>
    <w:pPr>
      <w:spacing w:line="320" w:lineRule="exact"/>
    </w:pPr>
    <w:rPr>
      <w:rFonts w:ascii="Times New Roman" w:hAnsi="Times New Roman"/>
      <w:kern w:val="0"/>
      <w:sz w:val="20"/>
    </w:rPr>
  </w:style>
  <w:style w:type="character" w:customStyle="1" w:styleId="Heading2Char">
    <w:name w:val="Heading 2 Char"/>
    <w:basedOn w:val="DefaultParagraphFont"/>
    <w:link w:val="Heading2"/>
    <w:uiPriority w:val="9"/>
    <w:semiHidden/>
    <w:rsid w:val="0029573E"/>
    <w:rPr>
      <w:rFonts w:asciiTheme="majorHAnsi" w:eastAsiaTheme="majorEastAsia" w:hAnsiTheme="majorHAnsi" w:cstheme="majorBidi"/>
      <w:b/>
      <w:bCs/>
      <w:color w:val="4F81BD" w:themeColor="accent1"/>
      <w:kern w:val="28"/>
      <w:sz w:val="26"/>
      <w:szCs w:val="26"/>
    </w:rPr>
  </w:style>
  <w:style w:type="character" w:customStyle="1" w:styleId="Heading3Char">
    <w:name w:val="Heading 3 Char"/>
    <w:basedOn w:val="DefaultParagraphFont"/>
    <w:link w:val="Heading3"/>
    <w:uiPriority w:val="9"/>
    <w:semiHidden/>
    <w:rsid w:val="0029573E"/>
    <w:rPr>
      <w:rFonts w:asciiTheme="majorHAnsi" w:eastAsiaTheme="majorEastAsia" w:hAnsiTheme="majorHAnsi" w:cstheme="majorBidi"/>
      <w:b/>
      <w:bCs/>
      <w:color w:val="4F81BD" w:themeColor="accent1"/>
      <w:kern w:val="28"/>
      <w:sz w:val="16"/>
      <w:szCs w:val="20"/>
    </w:rPr>
  </w:style>
  <w:style w:type="paragraph" w:customStyle="1" w:styleId="Standard">
    <w:name w:val="Standard"/>
    <w:rsid w:val="0029573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29573E"/>
    <w:pPr>
      <w:spacing w:after="120"/>
    </w:pPr>
  </w:style>
  <w:style w:type="paragraph" w:styleId="Header">
    <w:name w:val="header"/>
    <w:basedOn w:val="Standard"/>
    <w:link w:val="HeaderChar"/>
    <w:rsid w:val="0029573E"/>
    <w:pPr>
      <w:tabs>
        <w:tab w:val="center" w:pos="4320"/>
        <w:tab w:val="right" w:pos="8640"/>
      </w:tabs>
    </w:pPr>
  </w:style>
  <w:style w:type="character" w:customStyle="1" w:styleId="HeaderChar">
    <w:name w:val="Header Char"/>
    <w:basedOn w:val="DefaultParagraphFont"/>
    <w:link w:val="Header"/>
    <w:rsid w:val="0029573E"/>
    <w:rPr>
      <w:rFonts w:ascii="Times New Roman" w:eastAsia="Lucida Sans Unicode" w:hAnsi="Times New Roman" w:cs="Mangal"/>
      <w:kern w:val="3"/>
      <w:sz w:val="24"/>
      <w:szCs w:val="24"/>
      <w:lang w:eastAsia="zh-CN" w:bidi="hi-IN"/>
    </w:rPr>
  </w:style>
  <w:style w:type="paragraph" w:customStyle="1" w:styleId="Textbodyindent">
    <w:name w:val="Text body indent"/>
    <w:basedOn w:val="Standard"/>
    <w:rsid w:val="0029573E"/>
    <w:pPr>
      <w:ind w:left="720"/>
    </w:pPr>
  </w:style>
  <w:style w:type="numbering" w:customStyle="1" w:styleId="WW8Num1">
    <w:name w:val="WW8Num1"/>
    <w:basedOn w:val="NoList"/>
    <w:rsid w:val="0029573E"/>
    <w:pPr>
      <w:numPr>
        <w:numId w:val="1"/>
      </w:numPr>
    </w:pPr>
  </w:style>
  <w:style w:type="character" w:styleId="Hyperlink">
    <w:name w:val="Hyperlink"/>
    <w:basedOn w:val="DefaultParagraphFont"/>
    <w:uiPriority w:val="99"/>
    <w:unhideWhenUsed/>
    <w:rsid w:val="00E148A0"/>
    <w:rPr>
      <w:color w:val="0000FF"/>
      <w:u w:val="single"/>
    </w:rPr>
  </w:style>
  <w:style w:type="character" w:customStyle="1" w:styleId="Heading1Char">
    <w:name w:val="Heading 1 Char"/>
    <w:basedOn w:val="DefaultParagraphFont"/>
    <w:link w:val="Heading1"/>
    <w:uiPriority w:val="9"/>
    <w:rsid w:val="00E148A0"/>
    <w:rPr>
      <w:rFonts w:asciiTheme="majorHAnsi" w:eastAsiaTheme="majorEastAsia" w:hAnsiTheme="majorHAnsi" w:cstheme="majorBidi"/>
      <w:b/>
      <w:bCs/>
      <w:color w:val="365F91" w:themeColor="accent1" w:themeShade="BF"/>
      <w:kern w:val="28"/>
      <w:sz w:val="28"/>
      <w:szCs w:val="28"/>
    </w:rPr>
  </w:style>
  <w:style w:type="paragraph" w:styleId="ListParagraph">
    <w:name w:val="List Paragraph"/>
    <w:basedOn w:val="Normal"/>
    <w:uiPriority w:val="34"/>
    <w:qFormat/>
    <w:rsid w:val="00B86B68"/>
    <w:pPr>
      <w:ind w:left="720"/>
      <w:contextualSpacing/>
    </w:pPr>
  </w:style>
  <w:style w:type="character" w:styleId="FollowedHyperlink">
    <w:name w:val="FollowedHyperlink"/>
    <w:basedOn w:val="DefaultParagraphFont"/>
    <w:uiPriority w:val="99"/>
    <w:semiHidden/>
    <w:unhideWhenUsed/>
    <w:rsid w:val="00B86B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ndiana.edu/~eucenter/curricular_resources.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c.europa.eu/economy_finance/publications/publication6730_en.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7494B-B81D-4B97-81D0-3A6E664C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teleonar</dc:creator>
  <cp:lastModifiedBy>Maschino, Tyler</cp:lastModifiedBy>
  <cp:revision>2</cp:revision>
  <cp:lastPrinted>2011-10-25T17:30:00Z</cp:lastPrinted>
  <dcterms:created xsi:type="dcterms:W3CDTF">2023-10-04T13:33:00Z</dcterms:created>
  <dcterms:modified xsi:type="dcterms:W3CDTF">2023-10-04T13:33:00Z</dcterms:modified>
</cp:coreProperties>
</file>